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9E" w:rsidRPr="00894574" w:rsidRDefault="00AB509E" w:rsidP="00894574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A39A8" w:rsidRPr="00F7099C" w:rsidRDefault="00D11913" w:rsidP="008945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p w:rsidR="00F62761" w:rsidRDefault="00BD6155" w:rsidP="008945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:rsidR="00F62761" w:rsidRDefault="00F62761" w:rsidP="00FA39A8">
      <w:pPr>
        <w:jc w:val="center"/>
        <w:rPr>
          <w:color w:val="000000"/>
          <w:sz w:val="28"/>
          <w:szCs w:val="28"/>
        </w:rPr>
      </w:pPr>
    </w:p>
    <w:p w:rsidR="00F62761" w:rsidRPr="00F62761" w:rsidRDefault="00F62761" w:rsidP="00DA69CA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6276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Функциональная анатомия костей и их соединений.</w:t>
      </w:r>
    </w:p>
    <w:p w:rsidR="00FA39A8" w:rsidRDefault="00FA39A8" w:rsidP="00F62761">
      <w:pPr>
        <w:jc w:val="center"/>
        <w:rPr>
          <w:color w:val="000000"/>
          <w:sz w:val="28"/>
          <w:szCs w:val="28"/>
        </w:rPr>
      </w:pPr>
    </w:p>
    <w:p w:rsidR="00F62761" w:rsidRDefault="00F62761" w:rsidP="00DA69CA">
      <w:pPr>
        <w:spacing w:line="360" w:lineRule="auto"/>
        <w:rPr>
          <w:color w:val="000000"/>
          <w:sz w:val="28"/>
          <w:szCs w:val="28"/>
        </w:rPr>
      </w:pPr>
      <w:r w:rsidRPr="00F62761">
        <w:rPr>
          <w:color w:val="000000"/>
          <w:sz w:val="28"/>
          <w:szCs w:val="28"/>
        </w:rPr>
        <w:t>Классификация суставов</w:t>
      </w:r>
      <w:r w:rsidR="00894574">
        <w:rPr>
          <w:color w:val="000000"/>
          <w:sz w:val="28"/>
          <w:szCs w:val="28"/>
        </w:rPr>
        <w:t>:</w:t>
      </w:r>
    </w:p>
    <w:p w:rsidR="00F62761" w:rsidRPr="00894574" w:rsidRDefault="00F62761" w:rsidP="00DA69CA">
      <w:pPr>
        <w:spacing w:line="360" w:lineRule="auto"/>
        <w:ind w:firstLine="709"/>
        <w:jc w:val="both"/>
      </w:pPr>
      <w:r w:rsidRPr="00894574">
        <w:t>Классификацию суставов можно проводить по следующим принципам: 1) по числу суставных поверхностей, 2) по форме суставных поверхностей и 3) по функции. По числу суставных поверхностей различают: 1. Простой сустав (</w:t>
      </w:r>
      <w:proofErr w:type="spellStart"/>
      <w:r w:rsidRPr="00894574">
        <w:t>art</w:t>
      </w:r>
      <w:proofErr w:type="spellEnd"/>
      <w:r w:rsidRPr="00894574">
        <w:t xml:space="preserve">. </w:t>
      </w:r>
      <w:proofErr w:type="spellStart"/>
      <w:r w:rsidRPr="00894574">
        <w:t>simplex</w:t>
      </w:r>
      <w:proofErr w:type="spellEnd"/>
      <w:r w:rsidRPr="00894574">
        <w:t>), имеющий только 2 суставные поверхности, например межфаланговые суставы. 2. Сложный сустав (</w:t>
      </w:r>
      <w:proofErr w:type="spellStart"/>
      <w:r w:rsidRPr="00894574">
        <w:t>art</w:t>
      </w:r>
      <w:proofErr w:type="spellEnd"/>
      <w:r w:rsidRPr="00894574">
        <w:t xml:space="preserve">. </w:t>
      </w:r>
      <w:proofErr w:type="spellStart"/>
      <w:r w:rsidRPr="00894574">
        <w:t>composite</w:t>
      </w:r>
      <w:proofErr w:type="spellEnd"/>
      <w:r w:rsidRPr="00894574">
        <w:t>), имеющий более двух сочленовных поверхностей, например локтевой сустав. Сложный сустав состоит из нескольких простых сочленений, в которых движения могут совершаться отдельно. Наличие в сложном суставе нескольких сочленений обусловливает общность их связок. 3. Комплексный сустав (</w:t>
      </w:r>
      <w:proofErr w:type="spellStart"/>
      <w:r w:rsidRPr="00894574">
        <w:t>art</w:t>
      </w:r>
      <w:proofErr w:type="spellEnd"/>
      <w:r w:rsidRPr="00894574">
        <w:t xml:space="preserve">. </w:t>
      </w:r>
      <w:proofErr w:type="spellStart"/>
      <w:r w:rsidRPr="00894574">
        <w:t>complexa</w:t>
      </w:r>
      <w:proofErr w:type="spellEnd"/>
      <w:r w:rsidRPr="00894574">
        <w:t>), содержащий внутрисуставной хрящ, который разделяет сустав на две камеры (двухкамерный сустав). Деление на камеры происходит или полностью, если внутрисуставной хрящ имеет форму диска (например, в височно-нижнечелюстном суставе), или неполностью, если хрящ приобретает форму полулунного мениска (например, в коленном суставе). 4. Комбинированный сустав представляет комбинацию нескольких изолированных друг от друга суставов, расположенных отдельно друг от друга, но функционирующих вместе. Таковы, например, оба височно-нижнечелюстных сустава, проксимальный и дистальный лучелоктевые суставы и др. Так как комбинированный сустав представляет функциональное сочетание двух или более анатомически отдельных сочленений, то этим он отличается от сложного и комплексного суставов, каждый из которых, будучи анатомически единым, слагается из функционально различных соединений. По форме и по функции классификация проводится следующим образом. Функция сустава определяется количеством осей, вокруг которых совершаются движения. Количество же осей, вокруг которых происходят движения в данном суставе, зависит от формы его сочленовных поверхностей. Так, например, цилиндрическая форма сустава позволяет производить движение лишь вокруг одной оси вращения. При этом направление данной оси будет совпадать с осью расположения самого цилиндра: если цилиндрическая головка стоит вертикально, то и движение совершается вокруг вертикальной оси (цилиндрический сустав); если же цилиндрическая головка лежит горизонтально, то и движение будет совершаться вокруг одной из горизонтальных осей, совпадающих с осью расположения головки, - например, фронтальной (</w:t>
      </w:r>
      <w:proofErr w:type="spellStart"/>
      <w:r w:rsidRPr="00894574">
        <w:t>блоковидный</w:t>
      </w:r>
      <w:proofErr w:type="spellEnd"/>
      <w:r w:rsidRPr="00894574">
        <w:t xml:space="preserve"> </w:t>
      </w:r>
      <w:r w:rsidRPr="00894574">
        <w:lastRenderedPageBreak/>
        <w:t>сустав). В противоположность этому шаровидная форма головки дает возможность производить вращение вокруг множества осей, совпадающих с радиусами шара (шаровидный сустав). Следовательно, между числом осей и формой сочленовных поверхностей имеется полное соответствие: форма суставных поверхностей определяет характер движений сустава и, наоборот, характер движений данного сочленения обусловливает его форму</w:t>
      </w:r>
      <w:r w:rsidR="00DA69CA">
        <w:t>.</w:t>
      </w:r>
      <w:r w:rsidRPr="00894574">
        <w:t xml:space="preserve"> </w:t>
      </w:r>
    </w:p>
    <w:p w:rsidR="00F62761" w:rsidRDefault="00F62761" w:rsidP="008945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2761" w:rsidRPr="00DA69CA" w:rsidRDefault="00F62761" w:rsidP="00DA69CA">
      <w:pPr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F62761">
        <w:rPr>
          <w:b/>
          <w:bCs/>
          <w:color w:val="000000" w:themeColor="text1"/>
          <w:sz w:val="28"/>
          <w:szCs w:val="28"/>
        </w:rPr>
        <w:t>Функциональная анатомия мышц и морфологические критерии спортивного отбора в хоккее.</w:t>
      </w:r>
    </w:p>
    <w:p w:rsidR="00DA69CA" w:rsidRDefault="00DA69CA" w:rsidP="00F62761">
      <w:pPr>
        <w:spacing w:after="225"/>
        <w:ind w:left="360"/>
        <w:textAlignment w:val="baseline"/>
        <w:rPr>
          <w:color w:val="000000" w:themeColor="text1"/>
          <w:sz w:val="27"/>
          <w:szCs w:val="27"/>
        </w:rPr>
      </w:pPr>
    </w:p>
    <w:p w:rsidR="00F62761" w:rsidRPr="00DA69CA" w:rsidRDefault="00F62761" w:rsidP="00F62761">
      <w:pPr>
        <w:spacing w:after="225"/>
        <w:ind w:left="360"/>
        <w:textAlignment w:val="baseline"/>
        <w:rPr>
          <w:color w:val="000000" w:themeColor="text1"/>
          <w:sz w:val="28"/>
          <w:szCs w:val="28"/>
        </w:rPr>
      </w:pPr>
      <w:r w:rsidRPr="00DA69CA">
        <w:rPr>
          <w:color w:val="000000" w:themeColor="text1"/>
          <w:sz w:val="28"/>
          <w:szCs w:val="28"/>
        </w:rPr>
        <w:t>Виды мышечной ткани</w:t>
      </w:r>
      <w:r w:rsidR="00DA69CA">
        <w:rPr>
          <w:color w:val="000000" w:themeColor="text1"/>
          <w:sz w:val="28"/>
          <w:szCs w:val="28"/>
        </w:rPr>
        <w:t>:</w:t>
      </w:r>
    </w:p>
    <w:p w:rsidR="00F62761" w:rsidRPr="00DA69CA" w:rsidRDefault="00F62761" w:rsidP="00DA69CA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DA69CA">
        <w:rPr>
          <w:color w:val="000000" w:themeColor="text1"/>
        </w:rPr>
        <w:t>П</w:t>
      </w:r>
      <w:r w:rsidRPr="00DA69CA">
        <w:rPr>
          <w:color w:val="000000" w:themeColor="text1"/>
        </w:rPr>
        <w:t xml:space="preserve">оперечно-полосатая мышечная </w:t>
      </w:r>
      <w:proofErr w:type="gramStart"/>
      <w:r w:rsidRPr="00DA69CA">
        <w:rPr>
          <w:color w:val="000000" w:themeColor="text1"/>
        </w:rPr>
        <w:t>ткань  –</w:t>
      </w:r>
      <w:proofErr w:type="gramEnd"/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>входит в состав скелетных мышц.</w:t>
      </w:r>
      <w:r w:rsidR="00AD6522" w:rsidRP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 xml:space="preserve">Структурно-функциональная единица скелетной мускулатуры </w:t>
      </w:r>
      <w:r w:rsidRPr="00DA69CA">
        <w:sym w:font="Symbol" w:char="F02D"/>
      </w:r>
      <w:r w:rsidRPr="00DA69CA">
        <w:rPr>
          <w:color w:val="000000" w:themeColor="text1"/>
        </w:rPr>
        <w:t xml:space="preserve"> мышечное волокно. Мышечные волокна имеют длину до 12 см и диаметр до 100</w:t>
      </w:r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>мкм. Сокращение скелетных мышц происходит произвольно (сознательно).</w:t>
      </w:r>
    </w:p>
    <w:p w:rsidR="00F62761" w:rsidRPr="00DA69CA" w:rsidRDefault="00AD6522" w:rsidP="00DA69C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DA69CA">
        <w:rPr>
          <w:color w:val="000000" w:themeColor="text1"/>
        </w:rPr>
        <w:t>Поперечно-полосатая</w:t>
      </w:r>
      <w:proofErr w:type="gramEnd"/>
      <w:r w:rsidRPr="00DA69CA">
        <w:rPr>
          <w:color w:val="000000" w:themeColor="text1"/>
        </w:rPr>
        <w:t xml:space="preserve"> ткань</w:t>
      </w:r>
      <w:r w:rsidR="00F62761" w:rsidRPr="00DA69CA">
        <w:rPr>
          <w:color w:val="000000" w:themeColor="text1"/>
        </w:rPr>
        <w:t xml:space="preserve"> имеется также в составе некоторых внутренних органов (язык, мягкое небо, глотка, пищевод, гортань, и др.), органов</w:t>
      </w:r>
      <w:r w:rsidR="00DA69CA">
        <w:rPr>
          <w:color w:val="000000" w:themeColor="text1"/>
        </w:rPr>
        <w:t xml:space="preserve"> </w:t>
      </w:r>
      <w:r w:rsidR="00F62761" w:rsidRPr="00DA69CA">
        <w:rPr>
          <w:color w:val="000000" w:themeColor="text1"/>
        </w:rPr>
        <w:t>чувств (мышцы глаза, мышцы среднего уха). Мышцы этих органов изучаются в разделах «Внутренние органы» и «Органы чувств.</w:t>
      </w:r>
    </w:p>
    <w:p w:rsidR="00F62761" w:rsidRPr="00DA69CA" w:rsidRDefault="00AD6522" w:rsidP="00DA69CA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</w:rPr>
      </w:pPr>
      <w:r w:rsidRPr="00DA69CA">
        <w:rPr>
          <w:color w:val="000000" w:themeColor="text1"/>
        </w:rPr>
        <w:t>Г</w:t>
      </w:r>
      <w:r w:rsidR="00F62761" w:rsidRPr="00DA69CA">
        <w:rPr>
          <w:color w:val="000000" w:themeColor="text1"/>
        </w:rPr>
        <w:t>ладкая</w:t>
      </w:r>
      <w:r w:rsidRPr="00DA69CA">
        <w:rPr>
          <w:color w:val="000000" w:themeColor="text1"/>
        </w:rPr>
        <w:t xml:space="preserve"> </w:t>
      </w:r>
      <w:r w:rsidR="00F62761" w:rsidRPr="00DA69CA">
        <w:rPr>
          <w:color w:val="000000" w:themeColor="text1"/>
        </w:rPr>
        <w:t xml:space="preserve">мышечная </w:t>
      </w:r>
      <w:proofErr w:type="gramStart"/>
      <w:r w:rsidR="00F62761" w:rsidRPr="00DA69CA">
        <w:rPr>
          <w:color w:val="000000" w:themeColor="text1"/>
        </w:rPr>
        <w:t>ткань  входит</w:t>
      </w:r>
      <w:proofErr w:type="gramEnd"/>
      <w:r w:rsidR="00F62761" w:rsidRPr="00DA69CA">
        <w:rPr>
          <w:color w:val="000000" w:themeColor="text1"/>
        </w:rPr>
        <w:t xml:space="preserve"> в состав стенок внутренних органов и сосудов. Структурно-функциональной</w:t>
      </w:r>
      <w:r w:rsidR="00DA69CA">
        <w:rPr>
          <w:color w:val="000000" w:themeColor="text1"/>
        </w:rPr>
        <w:t xml:space="preserve"> </w:t>
      </w:r>
      <w:r w:rsidR="00F62761" w:rsidRPr="00DA69CA">
        <w:rPr>
          <w:color w:val="000000" w:themeColor="text1"/>
        </w:rPr>
        <w:t>единицей гладкой мышечной ткани является миоцит (гладкомышечная клетка). Миоцит имеет веретенообразную форму, длину 20</w:t>
      </w:r>
      <w:r w:rsidR="00F62761" w:rsidRPr="00DA69CA">
        <w:sym w:font="Symbol" w:char="F02D"/>
      </w:r>
      <w:r w:rsidR="00F62761" w:rsidRPr="00DA69CA">
        <w:rPr>
          <w:color w:val="000000" w:themeColor="text1"/>
        </w:rPr>
        <w:t>500 мкм и толщину</w:t>
      </w:r>
      <w:r w:rsidR="00DA69CA">
        <w:rPr>
          <w:color w:val="000000" w:themeColor="text1"/>
        </w:rPr>
        <w:t xml:space="preserve"> </w:t>
      </w:r>
      <w:r w:rsidR="00F62761" w:rsidRPr="00DA69CA">
        <w:rPr>
          <w:color w:val="000000" w:themeColor="text1"/>
        </w:rPr>
        <w:t>5</w:t>
      </w:r>
      <w:r w:rsidR="00F62761" w:rsidRPr="00DA69CA">
        <w:sym w:font="Symbol" w:char="F02D"/>
      </w:r>
      <w:r w:rsidR="00F62761" w:rsidRPr="00DA69CA">
        <w:rPr>
          <w:color w:val="000000" w:themeColor="text1"/>
        </w:rPr>
        <w:t>8 мкм. Сокращение гладкой мускулатуры происходит непроизвольно (бессознательно).</w:t>
      </w:r>
    </w:p>
    <w:p w:rsidR="00F62761" w:rsidRPr="00DA69CA" w:rsidRDefault="00F62761" w:rsidP="00DA69CA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DA69CA">
        <w:rPr>
          <w:color w:val="000000" w:themeColor="text1"/>
        </w:rPr>
        <w:t xml:space="preserve">3 Сердечная мышечная </w:t>
      </w:r>
      <w:proofErr w:type="gramStart"/>
      <w:r w:rsidRPr="00DA69CA">
        <w:rPr>
          <w:color w:val="000000" w:themeColor="text1"/>
        </w:rPr>
        <w:t>ткань  входит</w:t>
      </w:r>
      <w:proofErr w:type="gramEnd"/>
      <w:r w:rsidRPr="00DA69CA">
        <w:rPr>
          <w:color w:val="000000" w:themeColor="text1"/>
        </w:rPr>
        <w:t xml:space="preserve"> в состав стенки камер</w:t>
      </w:r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>сердца. Структурно-функциональная (сократительная) единицей сердечной</w:t>
      </w:r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>мышцы является сердечный миоцит (</w:t>
      </w:r>
      <w:proofErr w:type="spellStart"/>
      <w:r w:rsidRPr="00DA69CA">
        <w:rPr>
          <w:color w:val="000000" w:themeColor="text1"/>
        </w:rPr>
        <w:t>кардиомиоцит</w:t>
      </w:r>
      <w:proofErr w:type="spellEnd"/>
      <w:r w:rsidRPr="00DA69CA">
        <w:rPr>
          <w:color w:val="000000" w:themeColor="text1"/>
        </w:rPr>
        <w:t xml:space="preserve">). </w:t>
      </w:r>
      <w:proofErr w:type="spellStart"/>
      <w:r w:rsidRPr="00DA69CA">
        <w:rPr>
          <w:color w:val="000000" w:themeColor="text1"/>
        </w:rPr>
        <w:t>Кардиомиоциты</w:t>
      </w:r>
      <w:proofErr w:type="spellEnd"/>
      <w:r w:rsidRPr="00DA69CA">
        <w:rPr>
          <w:color w:val="000000" w:themeColor="text1"/>
        </w:rPr>
        <w:t xml:space="preserve"> содержат 1-2 ядра, имеют длину100</w:t>
      </w:r>
      <w:r w:rsidRPr="00DA69CA">
        <w:rPr>
          <w:color w:val="000000" w:themeColor="text1"/>
        </w:rPr>
        <w:sym w:font="Symbol" w:char="F02D"/>
      </w:r>
      <w:r w:rsidRPr="00DA69CA">
        <w:rPr>
          <w:color w:val="000000" w:themeColor="text1"/>
        </w:rPr>
        <w:t>150 мкм, диаметр 10</w:t>
      </w:r>
      <w:r w:rsidRPr="00DA69CA">
        <w:rPr>
          <w:color w:val="000000" w:themeColor="text1"/>
        </w:rPr>
        <w:sym w:font="Symbol" w:char="F02D"/>
      </w:r>
      <w:r w:rsidRPr="00DA69CA">
        <w:rPr>
          <w:color w:val="000000" w:themeColor="text1"/>
        </w:rPr>
        <w:t>20 мкм.</w:t>
      </w:r>
      <w:r w:rsidR="00AD6522" w:rsidRP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 xml:space="preserve"> </w:t>
      </w:r>
      <w:proofErr w:type="spellStart"/>
      <w:r w:rsidRPr="00DA69CA">
        <w:rPr>
          <w:color w:val="000000" w:themeColor="text1"/>
        </w:rPr>
        <w:t>Исчерченность</w:t>
      </w:r>
      <w:proofErr w:type="spellEnd"/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 xml:space="preserve">сердечной мышечной ткани похожа на </w:t>
      </w:r>
      <w:proofErr w:type="spellStart"/>
      <w:r w:rsidRPr="00DA69CA">
        <w:rPr>
          <w:color w:val="000000" w:themeColor="text1"/>
        </w:rPr>
        <w:t>исчерченность</w:t>
      </w:r>
      <w:proofErr w:type="spellEnd"/>
      <w:r w:rsidRPr="00DA69CA">
        <w:rPr>
          <w:color w:val="000000" w:themeColor="text1"/>
        </w:rPr>
        <w:t xml:space="preserve"> произвольных мышц.</w:t>
      </w:r>
      <w:r w:rsidR="00DA69CA">
        <w:rPr>
          <w:color w:val="000000" w:themeColor="text1"/>
        </w:rPr>
        <w:t xml:space="preserve"> </w:t>
      </w:r>
      <w:r w:rsidRPr="00DA69CA">
        <w:rPr>
          <w:color w:val="000000" w:themeColor="text1"/>
        </w:rPr>
        <w:t>Сокращается сердечная мышца непроизвольно.</w:t>
      </w:r>
    </w:p>
    <w:p w:rsidR="00F62761" w:rsidRDefault="00F62761" w:rsidP="00F62761">
      <w:pPr>
        <w:spacing w:after="225"/>
        <w:ind w:left="360"/>
        <w:textAlignment w:val="baseline"/>
        <w:rPr>
          <w:rFonts w:ascii="Roboto" w:hAnsi="Roboto"/>
          <w:color w:val="012243"/>
          <w:sz w:val="27"/>
          <w:szCs w:val="27"/>
        </w:rPr>
      </w:pPr>
    </w:p>
    <w:p w:rsidR="00F62761" w:rsidRPr="00F62761" w:rsidRDefault="00F62761" w:rsidP="00F62761">
      <w:pPr>
        <w:spacing w:before="150" w:after="150"/>
        <w:textAlignment w:val="baseline"/>
        <w:outlineLvl w:val="2"/>
        <w:rPr>
          <w:rFonts w:ascii="Roboto" w:hAnsi="Roboto"/>
          <w:b/>
          <w:bCs/>
          <w:color w:val="012250"/>
          <w:sz w:val="27"/>
          <w:szCs w:val="27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80788B" w:rsidRDefault="0080788B" w:rsidP="00FA39A8">
      <w:pPr>
        <w:jc w:val="center"/>
        <w:rPr>
          <w:color w:val="000000"/>
          <w:sz w:val="28"/>
          <w:szCs w:val="28"/>
        </w:rPr>
      </w:pPr>
    </w:p>
    <w:p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64"/>
      </w:tblGrid>
      <w:tr w:rsidR="0080788B" w:rsidTr="00AB509E">
        <w:tc>
          <w:tcPr>
            <w:tcW w:w="4785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lastRenderedPageBreak/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высшей </w:t>
            </w:r>
            <w:bookmarkStart w:id="0" w:name="_GoBack"/>
            <w:bookmarkEnd w:id="0"/>
            <w:r w:rsidRPr="00AB509E">
              <w:rPr>
                <w:sz w:val="28"/>
                <w:szCs w:val="28"/>
              </w:rPr>
              <w:t>школы тренеров</w:t>
            </w:r>
          </w:p>
          <w:p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:rsidR="0080788B" w:rsidRPr="00AB509E" w:rsidRDefault="00AD6522" w:rsidP="0080788B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 В.А</w:t>
            </w:r>
            <w:r w:rsidR="0080788B" w:rsidRPr="00AB509E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80788B" w:rsidRPr="00AB509E">
              <w:rPr>
                <w:sz w:val="28"/>
                <w:szCs w:val="28"/>
              </w:rPr>
              <w:t xml:space="preserve">   (</w:t>
            </w:r>
            <w:proofErr w:type="gramEnd"/>
            <w:r w:rsidR="0080788B" w:rsidRPr="00AB509E">
              <w:rPr>
                <w:sz w:val="28"/>
                <w:szCs w:val="28"/>
              </w:rPr>
              <w:t>Ф.И.О.)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</w:p>
          <w:p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______________________________</w:t>
            </w:r>
          </w:p>
          <w:p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52C5" w:rsidRPr="00F7099C" w:rsidRDefault="00CB52C5" w:rsidP="00AD6522">
      <w:pPr>
        <w:jc w:val="center"/>
        <w:rPr>
          <w:sz w:val="28"/>
          <w:szCs w:val="28"/>
        </w:rPr>
      </w:pPr>
      <w:r w:rsidRPr="00F7099C">
        <w:rPr>
          <w:sz w:val="28"/>
          <w:szCs w:val="28"/>
        </w:rPr>
        <w:t>Санкт-Петербург</w:t>
      </w:r>
    </w:p>
    <w:p w:rsidR="00FA39A8" w:rsidRDefault="00CB52C5" w:rsidP="00AD652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B509E">
        <w:rPr>
          <w:sz w:val="28"/>
          <w:szCs w:val="28"/>
        </w:rPr>
        <w:t>4</w:t>
      </w:r>
    </w:p>
    <w:p w:rsidR="00AD6522" w:rsidRDefault="00AD6522">
      <w:pPr>
        <w:jc w:val="center"/>
        <w:rPr>
          <w:sz w:val="28"/>
          <w:szCs w:val="28"/>
        </w:rPr>
      </w:pPr>
    </w:p>
    <w:sectPr w:rsidR="00AD6522" w:rsidSect="002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36DD"/>
    <w:multiLevelType w:val="multilevel"/>
    <w:tmpl w:val="021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94E23"/>
    <w:multiLevelType w:val="hybridMultilevel"/>
    <w:tmpl w:val="5FD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173D17"/>
    <w:rsid w:val="00201ECF"/>
    <w:rsid w:val="002E3BFF"/>
    <w:rsid w:val="00421CC6"/>
    <w:rsid w:val="00611894"/>
    <w:rsid w:val="00715530"/>
    <w:rsid w:val="008067DE"/>
    <w:rsid w:val="0080788B"/>
    <w:rsid w:val="00894574"/>
    <w:rsid w:val="00A615A1"/>
    <w:rsid w:val="00A63FB4"/>
    <w:rsid w:val="00AB509E"/>
    <w:rsid w:val="00AD6522"/>
    <w:rsid w:val="00BD6155"/>
    <w:rsid w:val="00C548F7"/>
    <w:rsid w:val="00CB52C5"/>
    <w:rsid w:val="00D01208"/>
    <w:rsid w:val="00D11913"/>
    <w:rsid w:val="00DA69CA"/>
    <w:rsid w:val="00F62761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23DE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2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6276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627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27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F6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4</cp:revision>
  <dcterms:created xsi:type="dcterms:W3CDTF">2024-11-07T19:35:00Z</dcterms:created>
  <dcterms:modified xsi:type="dcterms:W3CDTF">2024-11-07T20:00:00Z</dcterms:modified>
</cp:coreProperties>
</file>