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A8" w:rsidRPr="00AB509E" w:rsidRDefault="00AB509E" w:rsidP="00AB509E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D11913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Контрольные вопросы</w:t>
      </w:r>
    </w:p>
    <w:p w:rsidR="00FA39A8" w:rsidRPr="00F7099C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BD6155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</w:t>
      </w:r>
      <w:r w:rsidR="00D11913">
        <w:rPr>
          <w:color w:val="000000"/>
          <w:sz w:val="28"/>
          <w:szCs w:val="28"/>
        </w:rPr>
        <w:t>Анатомия человека</w:t>
      </w:r>
      <w:r w:rsidR="00FA39A8">
        <w:rPr>
          <w:color w:val="000000"/>
          <w:sz w:val="28"/>
          <w:szCs w:val="28"/>
        </w:rPr>
        <w:t>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4768"/>
      </w:tblGrid>
      <w:tr w:rsidR="0080788B" w:rsidTr="00AB509E">
        <w:tc>
          <w:tcPr>
            <w:tcW w:w="4785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</w:t>
            </w:r>
            <w:r w:rsidR="008067DE" w:rsidRPr="00AB509E">
              <w:rPr>
                <w:sz w:val="28"/>
                <w:szCs w:val="28"/>
              </w:rPr>
              <w:t>:</w:t>
            </w:r>
            <w:r w:rsidRPr="00AB509E">
              <w:rPr>
                <w:sz w:val="28"/>
                <w:szCs w:val="28"/>
              </w:rPr>
              <w:t xml:space="preserve"> </w:t>
            </w:r>
            <w:r w:rsidR="008067DE" w:rsidRPr="00AB509E">
              <w:rPr>
                <w:sz w:val="28"/>
                <w:szCs w:val="28"/>
              </w:rPr>
              <w:t>С</w:t>
            </w:r>
            <w:r w:rsidRPr="00AB509E">
              <w:rPr>
                <w:sz w:val="28"/>
                <w:szCs w:val="28"/>
              </w:rPr>
              <w:t>лушатель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_</w:t>
            </w:r>
            <w:proofErr w:type="spellStart"/>
            <w:r w:rsidR="00844E5D">
              <w:rPr>
                <w:sz w:val="28"/>
                <w:szCs w:val="28"/>
                <w:u w:val="single"/>
              </w:rPr>
              <w:t>Пелымский</w:t>
            </w:r>
            <w:proofErr w:type="spellEnd"/>
            <w:r w:rsidR="00844E5D">
              <w:rPr>
                <w:sz w:val="28"/>
                <w:szCs w:val="28"/>
                <w:u w:val="single"/>
              </w:rPr>
              <w:t xml:space="preserve"> Е.К.</w:t>
            </w:r>
            <w:r w:rsidRPr="00AB509E">
              <w:rPr>
                <w:sz w:val="28"/>
                <w:szCs w:val="28"/>
              </w:rPr>
              <w:t xml:space="preserve">___________                                    </w:t>
            </w:r>
            <w:proofErr w:type="gramStart"/>
            <w:r w:rsidRPr="00AB509E">
              <w:rPr>
                <w:sz w:val="28"/>
                <w:szCs w:val="28"/>
              </w:rPr>
              <w:t xml:space="preserve">   (</w:t>
            </w:r>
            <w:proofErr w:type="gramEnd"/>
            <w:r w:rsidRPr="00AB509E">
              <w:rPr>
                <w:sz w:val="28"/>
                <w:szCs w:val="28"/>
              </w:rPr>
              <w:t>Ф.И.О.)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 w:rsidR="00D11913">
              <w:rPr>
                <w:sz w:val="28"/>
                <w:szCs w:val="28"/>
              </w:rPr>
              <w:t>д-</w:t>
            </w:r>
            <w:proofErr w:type="spellStart"/>
            <w:r w:rsidR="00D11913">
              <w:rPr>
                <w:sz w:val="28"/>
                <w:szCs w:val="28"/>
              </w:rPr>
              <w:t>р.биол.н</w:t>
            </w:r>
            <w:proofErr w:type="spellEnd"/>
            <w:r w:rsidR="00D11913">
              <w:rPr>
                <w:sz w:val="28"/>
                <w:szCs w:val="28"/>
              </w:rPr>
              <w:t xml:space="preserve">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 w:rsidR="00D11913"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 w:rsidR="00D11913"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>«НГУ им. П.Ф. Лесгафта, Санкт-</w:t>
            </w:r>
            <w:proofErr w:type="gramStart"/>
            <w:r w:rsidRPr="00AB509E">
              <w:rPr>
                <w:sz w:val="28"/>
                <w:szCs w:val="28"/>
              </w:rPr>
              <w:t xml:space="preserve">Петербург»   </w:t>
            </w:r>
            <w:proofErr w:type="gramEnd"/>
            <w:r w:rsidRPr="00AB509E">
              <w:rPr>
                <w:sz w:val="28"/>
                <w:szCs w:val="28"/>
              </w:rPr>
              <w:t xml:space="preserve">                                                    </w:t>
            </w:r>
            <w:r w:rsidR="00D11913"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:rsidR="0080788B" w:rsidRPr="00AB509E" w:rsidRDefault="0080788B" w:rsidP="00AB509E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FA39A8" w:rsidRDefault="00FA39A8" w:rsidP="00FA39A8">
      <w:pPr>
        <w:tabs>
          <w:tab w:val="left" w:pos="7110"/>
        </w:tabs>
        <w:jc w:val="right"/>
        <w:rPr>
          <w:sz w:val="28"/>
          <w:szCs w:val="28"/>
        </w:rPr>
      </w:pPr>
    </w:p>
    <w:p w:rsidR="00CB52C5" w:rsidRPr="00F7099C" w:rsidRDefault="00FA39A8" w:rsidP="00CB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2C5" w:rsidRPr="00F7099C">
        <w:rPr>
          <w:sz w:val="28"/>
          <w:szCs w:val="28"/>
        </w:rPr>
        <w:t>Санкт-Петербург</w:t>
      </w:r>
    </w:p>
    <w:p w:rsidR="00FA39A8" w:rsidRDefault="00CB52C5" w:rsidP="00AB5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547687">
        <w:rPr>
          <w:sz w:val="28"/>
          <w:szCs w:val="28"/>
        </w:rPr>
        <w:t>5</w:t>
      </w:r>
    </w:p>
    <w:p w:rsidR="00E77911" w:rsidRPr="00E77911" w:rsidRDefault="00E77911" w:rsidP="00E77911">
      <w:pPr>
        <w:pStyle w:val="a4"/>
        <w:jc w:val="center"/>
        <w:rPr>
          <w:b/>
          <w:sz w:val="28"/>
          <w:szCs w:val="28"/>
        </w:rPr>
      </w:pPr>
      <w:r w:rsidRPr="00E77911">
        <w:rPr>
          <w:b/>
          <w:sz w:val="28"/>
          <w:szCs w:val="28"/>
        </w:rPr>
        <w:lastRenderedPageBreak/>
        <w:t>Классификация су</w:t>
      </w:r>
      <w:bookmarkStart w:id="0" w:name="_GoBack"/>
      <w:bookmarkEnd w:id="0"/>
      <w:r w:rsidRPr="00E77911">
        <w:rPr>
          <w:b/>
          <w:sz w:val="28"/>
          <w:szCs w:val="28"/>
        </w:rPr>
        <w:t>ставов</w:t>
      </w:r>
    </w:p>
    <w:p w:rsidR="00361E05" w:rsidRDefault="00361E05" w:rsidP="00361E05">
      <w:pPr>
        <w:pStyle w:val="a4"/>
      </w:pPr>
      <w:r>
        <w:t xml:space="preserve">Суставы классифицируют по </w:t>
      </w:r>
      <w:r>
        <w:rPr>
          <w:rStyle w:val="a5"/>
          <w:rFonts w:eastAsiaTheme="majorEastAsia"/>
        </w:rPr>
        <w:t>трём основным критериям</w:t>
      </w:r>
      <w:r>
        <w:t>:</w:t>
      </w:r>
    </w:p>
    <w:p w:rsidR="00361E05" w:rsidRDefault="00361E05" w:rsidP="00361E05">
      <w:pPr>
        <w:pStyle w:val="a4"/>
        <w:numPr>
          <w:ilvl w:val="0"/>
          <w:numId w:val="1"/>
        </w:numPr>
      </w:pPr>
      <w:r>
        <w:rPr>
          <w:rStyle w:val="a5"/>
          <w:rFonts w:eastAsiaTheme="majorEastAsia"/>
        </w:rPr>
        <w:t>По количеству суставных поверхностей</w:t>
      </w:r>
    </w:p>
    <w:p w:rsidR="00361E05" w:rsidRDefault="00361E05" w:rsidP="00361E05">
      <w:pPr>
        <w:pStyle w:val="a4"/>
        <w:numPr>
          <w:ilvl w:val="0"/>
          <w:numId w:val="2"/>
        </w:numPr>
      </w:pPr>
      <w:r>
        <w:rPr>
          <w:rStyle w:val="a5"/>
          <w:rFonts w:eastAsiaTheme="majorEastAsia"/>
        </w:rPr>
        <w:t>Простой сустав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simplex</w:t>
      </w:r>
      <w:proofErr w:type="spellEnd"/>
      <w:r>
        <w:t xml:space="preserve">) — образован </w:t>
      </w:r>
      <w:r>
        <w:rPr>
          <w:rStyle w:val="a5"/>
          <w:rFonts w:eastAsiaTheme="majorEastAsia"/>
        </w:rPr>
        <w:t>двумя</w:t>
      </w:r>
      <w:r>
        <w:t xml:space="preserve"> суставными поверхностями.</w:t>
      </w:r>
      <w:r>
        <w:br/>
      </w:r>
      <w:r>
        <w:rPr>
          <w:rStyle w:val="a6"/>
        </w:rPr>
        <w:t>Пример:</w:t>
      </w:r>
      <w:r>
        <w:t xml:space="preserve"> межфаланговый сустав.</w:t>
      </w:r>
    </w:p>
    <w:p w:rsidR="00361E05" w:rsidRDefault="00361E05" w:rsidP="00361E05">
      <w:pPr>
        <w:pStyle w:val="a4"/>
        <w:numPr>
          <w:ilvl w:val="0"/>
          <w:numId w:val="2"/>
        </w:numPr>
      </w:pPr>
      <w:r>
        <w:rPr>
          <w:rStyle w:val="a5"/>
          <w:rFonts w:eastAsiaTheme="majorEastAsia"/>
        </w:rPr>
        <w:t>Сложный сустав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composita</w:t>
      </w:r>
      <w:proofErr w:type="spellEnd"/>
      <w:r>
        <w:t xml:space="preserve">) — включает </w:t>
      </w:r>
      <w:r>
        <w:rPr>
          <w:rStyle w:val="a5"/>
          <w:rFonts w:eastAsiaTheme="majorEastAsia"/>
        </w:rPr>
        <w:t>более двух</w:t>
      </w:r>
      <w:r>
        <w:t xml:space="preserve"> суставных поверхностей.</w:t>
      </w:r>
      <w:r>
        <w:br/>
      </w:r>
      <w:r>
        <w:rPr>
          <w:rStyle w:val="a6"/>
        </w:rPr>
        <w:t>Пример:</w:t>
      </w:r>
      <w:r>
        <w:t xml:space="preserve"> локтевой сустав, лучезапястный сустав.</w:t>
      </w:r>
    </w:p>
    <w:p w:rsidR="00361E05" w:rsidRDefault="00361E05" w:rsidP="00361E05">
      <w:pPr>
        <w:pStyle w:val="a4"/>
        <w:numPr>
          <w:ilvl w:val="0"/>
          <w:numId w:val="2"/>
        </w:numPr>
      </w:pPr>
      <w:r>
        <w:rPr>
          <w:rStyle w:val="a5"/>
          <w:rFonts w:eastAsiaTheme="majorEastAsia"/>
        </w:rPr>
        <w:t>Комплексный сустав</w:t>
      </w:r>
      <w:r>
        <w:t xml:space="preserve"> — имеет между сочленяющимися поверхностями </w:t>
      </w:r>
      <w:r>
        <w:rPr>
          <w:rStyle w:val="a5"/>
          <w:rFonts w:eastAsiaTheme="majorEastAsia"/>
        </w:rPr>
        <w:t>суставной диск или мениск</w:t>
      </w:r>
      <w:r>
        <w:t>, делящий полость на два отдела.</w:t>
      </w:r>
      <w:r>
        <w:br/>
      </w:r>
      <w:r>
        <w:rPr>
          <w:rStyle w:val="a6"/>
        </w:rPr>
        <w:t>Пример:</w:t>
      </w:r>
      <w:r>
        <w:t xml:space="preserve"> коленный сустав, грудино</w:t>
      </w:r>
      <w:r>
        <w:noBreakHyphen/>
        <w:t>ключичный сустав.</w:t>
      </w:r>
    </w:p>
    <w:p w:rsidR="00361E05" w:rsidRDefault="00361E05" w:rsidP="00361E05">
      <w:pPr>
        <w:pStyle w:val="a4"/>
        <w:numPr>
          <w:ilvl w:val="0"/>
          <w:numId w:val="2"/>
        </w:numPr>
      </w:pPr>
      <w:r>
        <w:rPr>
          <w:rStyle w:val="a5"/>
          <w:rFonts w:eastAsiaTheme="majorEastAsia"/>
        </w:rPr>
        <w:t>Комбинированный сустав</w:t>
      </w:r>
      <w:r>
        <w:t xml:space="preserve"> — два анатомически разобщённых сустава, функционирующих </w:t>
      </w:r>
      <w:r>
        <w:rPr>
          <w:rStyle w:val="a5"/>
          <w:rFonts w:eastAsiaTheme="majorEastAsia"/>
        </w:rPr>
        <w:t>только совместно</w:t>
      </w:r>
      <w:r>
        <w:t>.</w:t>
      </w:r>
      <w:r>
        <w:br/>
      </w:r>
      <w:r>
        <w:rPr>
          <w:rStyle w:val="a6"/>
        </w:rPr>
        <w:t>Пример:</w:t>
      </w:r>
      <w:r>
        <w:t xml:space="preserve"> атланто</w:t>
      </w:r>
      <w:r>
        <w:noBreakHyphen/>
        <w:t>затылочный сустав, височно</w:t>
      </w:r>
      <w:r>
        <w:noBreakHyphen/>
        <w:t>нижнечелюстной сустав.</w:t>
      </w:r>
    </w:p>
    <w:p w:rsidR="00361E05" w:rsidRDefault="00361E05" w:rsidP="00361E05">
      <w:pPr>
        <w:pStyle w:val="a4"/>
        <w:numPr>
          <w:ilvl w:val="0"/>
          <w:numId w:val="3"/>
        </w:numPr>
      </w:pPr>
      <w:r>
        <w:rPr>
          <w:rStyle w:val="a5"/>
          <w:rFonts w:eastAsiaTheme="majorEastAsia"/>
        </w:rPr>
        <w:t>По форме суставных поверхностей</w:t>
      </w:r>
      <w:r>
        <w:t xml:space="preserve"> (сопоставляется с геометрическими фигурами)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Цилиндрический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trochoidea</w:t>
      </w:r>
      <w:proofErr w:type="spellEnd"/>
      <w:r>
        <w:t>) — вращение вокруг вертикальной оси.</w:t>
      </w:r>
    </w:p>
    <w:p w:rsidR="00361E05" w:rsidRDefault="00361E05" w:rsidP="00361E05">
      <w:pPr>
        <w:pStyle w:val="a4"/>
        <w:numPr>
          <w:ilvl w:val="0"/>
          <w:numId w:val="4"/>
        </w:numPr>
      </w:pPr>
      <w:proofErr w:type="spellStart"/>
      <w:r>
        <w:rPr>
          <w:rStyle w:val="a5"/>
          <w:rFonts w:eastAsiaTheme="majorEastAsia"/>
        </w:rPr>
        <w:t>Блоковидный</w:t>
      </w:r>
      <w:proofErr w:type="spellEnd"/>
      <w:r>
        <w:t xml:space="preserve"> (</w:t>
      </w:r>
      <w:proofErr w:type="spellStart"/>
      <w:r>
        <w:rPr>
          <w:rStyle w:val="a6"/>
        </w:rPr>
        <w:t>ginglymus</w:t>
      </w:r>
      <w:proofErr w:type="spellEnd"/>
      <w:r>
        <w:t>) — сгибание/разгибание вокруг фронтальной оси.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Эллипсовидный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ellipsoidea</w:t>
      </w:r>
      <w:proofErr w:type="spellEnd"/>
      <w:r>
        <w:t>) — движения вокруг двух осей.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Седловидный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sellaris</w:t>
      </w:r>
      <w:proofErr w:type="spellEnd"/>
      <w:r>
        <w:t>) — двуосные движения.</w:t>
      </w:r>
    </w:p>
    <w:p w:rsidR="00361E05" w:rsidRDefault="00361E05" w:rsidP="00361E05">
      <w:pPr>
        <w:pStyle w:val="a4"/>
        <w:numPr>
          <w:ilvl w:val="0"/>
          <w:numId w:val="4"/>
        </w:numPr>
      </w:pPr>
      <w:proofErr w:type="spellStart"/>
      <w:r>
        <w:rPr>
          <w:rStyle w:val="a5"/>
          <w:rFonts w:eastAsiaTheme="majorEastAsia"/>
        </w:rPr>
        <w:t>Мыщелковый</w:t>
      </w:r>
      <w:proofErr w:type="spellEnd"/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bicondylaris</w:t>
      </w:r>
      <w:proofErr w:type="spellEnd"/>
      <w:r>
        <w:t>) — двуосный сустав с мыщелками.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Шаровидный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spheroidea</w:t>
      </w:r>
      <w:proofErr w:type="spellEnd"/>
      <w:r>
        <w:t>) — максимально свободные движения вокруг трёх осей.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Чашеобразный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cotylica</w:t>
      </w:r>
      <w:proofErr w:type="spellEnd"/>
      <w:r>
        <w:t>) — глубокая впадина, ограничивающая амплитуду.</w:t>
      </w:r>
    </w:p>
    <w:p w:rsidR="00361E05" w:rsidRDefault="00361E05" w:rsidP="00361E05">
      <w:pPr>
        <w:pStyle w:val="a4"/>
        <w:numPr>
          <w:ilvl w:val="0"/>
          <w:numId w:val="4"/>
        </w:numPr>
      </w:pPr>
      <w:r>
        <w:rPr>
          <w:rStyle w:val="a5"/>
          <w:rFonts w:eastAsiaTheme="majorEastAsia"/>
        </w:rPr>
        <w:t>Плоский</w:t>
      </w:r>
      <w:r>
        <w:t xml:space="preserve"> (</w:t>
      </w:r>
      <w:proofErr w:type="spellStart"/>
      <w:r>
        <w:rPr>
          <w:rStyle w:val="a6"/>
        </w:rPr>
        <w:t>articulatio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plana</w:t>
      </w:r>
      <w:proofErr w:type="spellEnd"/>
      <w:r>
        <w:t>) — малоподвижный сустав с плоскими поверхностями.</w:t>
      </w:r>
    </w:p>
    <w:p w:rsidR="00361E05" w:rsidRDefault="00361E05" w:rsidP="00361E05">
      <w:pPr>
        <w:pStyle w:val="a4"/>
        <w:numPr>
          <w:ilvl w:val="0"/>
          <w:numId w:val="5"/>
        </w:numPr>
      </w:pPr>
      <w:r>
        <w:rPr>
          <w:rStyle w:val="a5"/>
          <w:rFonts w:eastAsiaTheme="majorEastAsia"/>
        </w:rPr>
        <w:t>По числу осей вращения</w:t>
      </w:r>
    </w:p>
    <w:p w:rsidR="00361E05" w:rsidRDefault="00361E05" w:rsidP="00361E05">
      <w:pPr>
        <w:pStyle w:val="a4"/>
        <w:numPr>
          <w:ilvl w:val="0"/>
          <w:numId w:val="6"/>
        </w:numPr>
      </w:pPr>
      <w:r>
        <w:rPr>
          <w:rStyle w:val="a5"/>
          <w:rFonts w:eastAsiaTheme="majorEastAsia"/>
        </w:rPr>
        <w:t>Одноосные суставы</w:t>
      </w:r>
      <w:r>
        <w:t xml:space="preserve"> — движения вокруг </w:t>
      </w:r>
      <w:r>
        <w:rPr>
          <w:rStyle w:val="a5"/>
          <w:rFonts w:eastAsiaTheme="majorEastAsia"/>
        </w:rPr>
        <w:t>одной</w:t>
      </w:r>
      <w:r>
        <w:t xml:space="preserve"> оси.</w:t>
      </w:r>
      <w:r>
        <w:br/>
      </w:r>
      <w:r>
        <w:rPr>
          <w:rStyle w:val="a6"/>
        </w:rPr>
        <w:t>Типы:</w:t>
      </w:r>
      <w:r>
        <w:t xml:space="preserve"> цилиндрический, </w:t>
      </w:r>
      <w:proofErr w:type="spellStart"/>
      <w:r>
        <w:t>блоковидный</w:t>
      </w:r>
      <w:proofErr w:type="spellEnd"/>
      <w:r>
        <w:t>.</w:t>
      </w:r>
      <w:r>
        <w:br/>
      </w:r>
      <w:r>
        <w:rPr>
          <w:rStyle w:val="a6"/>
        </w:rPr>
        <w:t>Движения:</w:t>
      </w:r>
      <w:r>
        <w:t xml:space="preserve"> сгибание/разгибание </w:t>
      </w:r>
      <w:r>
        <w:rPr>
          <w:rStyle w:val="a6"/>
        </w:rPr>
        <w:t>или</w:t>
      </w:r>
      <w:r>
        <w:t xml:space="preserve"> вращение.</w:t>
      </w:r>
    </w:p>
    <w:p w:rsidR="00361E05" w:rsidRDefault="00361E05" w:rsidP="00361E05">
      <w:pPr>
        <w:pStyle w:val="a4"/>
        <w:numPr>
          <w:ilvl w:val="0"/>
          <w:numId w:val="6"/>
        </w:numPr>
      </w:pPr>
      <w:r>
        <w:rPr>
          <w:rStyle w:val="a5"/>
          <w:rFonts w:eastAsiaTheme="majorEastAsia"/>
        </w:rPr>
        <w:t>Двуосные суставы</w:t>
      </w:r>
      <w:r>
        <w:t xml:space="preserve"> — движения вокруг </w:t>
      </w:r>
      <w:r>
        <w:rPr>
          <w:rStyle w:val="a5"/>
          <w:rFonts w:eastAsiaTheme="majorEastAsia"/>
        </w:rPr>
        <w:t>двух</w:t>
      </w:r>
      <w:r>
        <w:t xml:space="preserve"> осей.</w:t>
      </w:r>
      <w:r>
        <w:br/>
      </w:r>
      <w:r>
        <w:rPr>
          <w:rStyle w:val="a6"/>
        </w:rPr>
        <w:t>Типы:</w:t>
      </w:r>
      <w:r>
        <w:t xml:space="preserve"> эллипсовидный, седловидный, </w:t>
      </w:r>
      <w:proofErr w:type="spellStart"/>
      <w:r>
        <w:t>мыщелковый</w:t>
      </w:r>
      <w:proofErr w:type="spellEnd"/>
      <w:r>
        <w:t>.</w:t>
      </w:r>
      <w:r>
        <w:br/>
      </w:r>
      <w:r>
        <w:rPr>
          <w:rStyle w:val="a6"/>
        </w:rPr>
        <w:t>Движения:</w:t>
      </w:r>
      <w:r>
        <w:t xml:space="preserve"> сгибание/разгибание + отведение/приведение; возможно круговое движение (</w:t>
      </w:r>
      <w:proofErr w:type="spellStart"/>
      <w:r>
        <w:rPr>
          <w:rStyle w:val="a6"/>
        </w:rPr>
        <w:t>circumductio</w:t>
      </w:r>
      <w:proofErr w:type="spellEnd"/>
      <w:r>
        <w:t>).</w:t>
      </w:r>
    </w:p>
    <w:p w:rsidR="00361E05" w:rsidRDefault="00361E05" w:rsidP="00361E05">
      <w:pPr>
        <w:pStyle w:val="a4"/>
        <w:numPr>
          <w:ilvl w:val="0"/>
          <w:numId w:val="6"/>
        </w:numPr>
      </w:pPr>
      <w:r>
        <w:rPr>
          <w:rStyle w:val="a5"/>
          <w:rFonts w:eastAsiaTheme="majorEastAsia"/>
        </w:rPr>
        <w:t>Трехосные (многоосные) суставы</w:t>
      </w:r>
      <w:r>
        <w:t xml:space="preserve"> — движения вокруг </w:t>
      </w:r>
      <w:r>
        <w:rPr>
          <w:rStyle w:val="a5"/>
          <w:rFonts w:eastAsiaTheme="majorEastAsia"/>
        </w:rPr>
        <w:t>трёх</w:t>
      </w:r>
      <w:r>
        <w:t xml:space="preserve"> осей.</w:t>
      </w:r>
      <w:r>
        <w:br/>
      </w:r>
      <w:r>
        <w:rPr>
          <w:rStyle w:val="a6"/>
        </w:rPr>
        <w:t>Типы:</w:t>
      </w:r>
      <w:r>
        <w:t xml:space="preserve"> шаровидный, чашеобразный, плоский.</w:t>
      </w:r>
      <w:r>
        <w:br/>
      </w:r>
      <w:r>
        <w:rPr>
          <w:rStyle w:val="a6"/>
        </w:rPr>
        <w:t>Движения:</w:t>
      </w:r>
      <w:r>
        <w:t xml:space="preserve"> сгибание/разгибание, отведение/приведение, вращение; круговое движение.</w:t>
      </w:r>
    </w:p>
    <w:p w:rsidR="00547687" w:rsidRDefault="00547687" w:rsidP="00AB509E">
      <w:pPr>
        <w:jc w:val="center"/>
        <w:rPr>
          <w:sz w:val="28"/>
          <w:szCs w:val="28"/>
        </w:rPr>
      </w:pPr>
    </w:p>
    <w:p w:rsidR="0035022B" w:rsidRPr="0035022B" w:rsidRDefault="0035022B" w:rsidP="0035022B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5022B">
        <w:rPr>
          <w:rFonts w:ascii="Times New Roman" w:hAnsi="Times New Roman" w:cs="Times New Roman"/>
          <w:b/>
          <w:color w:val="auto"/>
          <w:sz w:val="28"/>
          <w:szCs w:val="28"/>
        </w:rPr>
        <w:t>Адаптация мышц к физическим нагрузкам</w:t>
      </w:r>
    </w:p>
    <w:p w:rsidR="0035022B" w:rsidRDefault="0035022B" w:rsidP="0035022B">
      <w:pPr>
        <w:pStyle w:val="a4"/>
      </w:pPr>
      <w:r>
        <w:t xml:space="preserve">Адаптация — это системный процесс приспособления организма (в том числе мышечной системы) к повторяющимся физическим нагрузкам. Она включает морфологические, </w:t>
      </w:r>
      <w:r>
        <w:lastRenderedPageBreak/>
        <w:t>биохимические и функциональные изменения, позволяющие эффективнее справляться с заданными усилиями.</w:t>
      </w:r>
    </w:p>
    <w:p w:rsidR="0035022B" w:rsidRPr="0035022B" w:rsidRDefault="0035022B" w:rsidP="0035022B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35022B">
        <w:rPr>
          <w:rFonts w:ascii="Times New Roman" w:hAnsi="Times New Roman" w:cs="Times New Roman"/>
          <w:b/>
          <w:color w:val="auto"/>
        </w:rPr>
        <w:t>Основные механизмы адаптации</w:t>
      </w:r>
    </w:p>
    <w:p w:rsidR="0035022B" w:rsidRDefault="0035022B" w:rsidP="0035022B">
      <w:pPr>
        <w:pStyle w:val="a4"/>
        <w:numPr>
          <w:ilvl w:val="0"/>
          <w:numId w:val="9"/>
        </w:numPr>
      </w:pPr>
      <w:r>
        <w:rPr>
          <w:rStyle w:val="a5"/>
        </w:rPr>
        <w:t>Рабочая гипертрофия</w:t>
      </w:r>
      <w:r>
        <w:t> — увеличение объёма и массы мышц за счёт: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роста диаметра мышечных волокон (увеличения количества миофибрилл);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синтеза белка (</w:t>
      </w:r>
      <w:proofErr w:type="spellStart"/>
      <w:r>
        <w:t>актиновых</w:t>
      </w:r>
      <w:proofErr w:type="spellEnd"/>
      <w:r>
        <w:t xml:space="preserve"> и </w:t>
      </w:r>
      <w:proofErr w:type="spellStart"/>
      <w:r>
        <w:t>миозиновых</w:t>
      </w:r>
      <w:proofErr w:type="spellEnd"/>
      <w:r>
        <w:t xml:space="preserve"> нитей);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 xml:space="preserve">увеличения количества митохондрий и ферментов </w:t>
      </w:r>
      <w:proofErr w:type="spellStart"/>
      <w:r>
        <w:t>энергообмена</w:t>
      </w:r>
      <w:proofErr w:type="spellEnd"/>
      <w:r>
        <w:t>.</w:t>
      </w:r>
    </w:p>
    <w:p w:rsidR="0035022B" w:rsidRDefault="0035022B" w:rsidP="0035022B">
      <w:pPr>
        <w:pStyle w:val="a4"/>
        <w:numPr>
          <w:ilvl w:val="0"/>
          <w:numId w:val="9"/>
        </w:numPr>
      </w:pPr>
      <w:r>
        <w:rPr>
          <w:rStyle w:val="a5"/>
        </w:rPr>
        <w:t>Метаболическая перестройка</w:t>
      </w:r>
      <w:r>
        <w:t>: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повышение способности к синтезу АТФ;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увеличение запасов гликогена;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улучшение утилизации кислорода и жирных кислот;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усиление антиоксидантной защиты.</w:t>
      </w:r>
    </w:p>
    <w:p w:rsidR="0035022B" w:rsidRDefault="0035022B" w:rsidP="0035022B">
      <w:pPr>
        <w:pStyle w:val="a4"/>
        <w:numPr>
          <w:ilvl w:val="0"/>
          <w:numId w:val="9"/>
        </w:numPr>
      </w:pPr>
      <w:r>
        <w:rPr>
          <w:rStyle w:val="a5"/>
        </w:rPr>
        <w:t>Сосудистые изменения</w:t>
      </w:r>
      <w:r>
        <w:t>: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расширение капиллярной сети вокруг мышечных волокон;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улучшение кровотока и доставки кислорода/питательных веществ.</w:t>
      </w:r>
    </w:p>
    <w:p w:rsidR="0035022B" w:rsidRDefault="0035022B" w:rsidP="0035022B">
      <w:pPr>
        <w:pStyle w:val="a4"/>
        <w:numPr>
          <w:ilvl w:val="0"/>
          <w:numId w:val="9"/>
        </w:numPr>
      </w:pPr>
      <w:r>
        <w:rPr>
          <w:rStyle w:val="a5"/>
        </w:rPr>
        <w:t>Нейромышечная адаптация</w:t>
      </w:r>
      <w:r>
        <w:t>: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 xml:space="preserve">оптимизация </w:t>
      </w:r>
      <w:proofErr w:type="spellStart"/>
      <w:r>
        <w:t>рекрутирования</w:t>
      </w:r>
      <w:proofErr w:type="spellEnd"/>
      <w:r>
        <w:t xml:space="preserve"> двигательных единиц;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синхронизация работы мышечных волокон;</w:t>
      </w:r>
    </w:p>
    <w:p w:rsidR="0035022B" w:rsidRDefault="0035022B" w:rsidP="0035022B">
      <w:pPr>
        <w:pStyle w:val="a4"/>
        <w:numPr>
          <w:ilvl w:val="1"/>
          <w:numId w:val="9"/>
        </w:numPr>
      </w:pPr>
      <w:r>
        <w:t>снижение тормозных влияний ЦНС.</w:t>
      </w:r>
    </w:p>
    <w:p w:rsidR="0035022B" w:rsidRPr="0035022B" w:rsidRDefault="0035022B" w:rsidP="0035022B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35022B">
        <w:rPr>
          <w:rFonts w:ascii="Times New Roman" w:hAnsi="Times New Roman" w:cs="Times New Roman"/>
          <w:b/>
          <w:color w:val="auto"/>
        </w:rPr>
        <w:t>Типы адаптации в зависимости от нагрузки</w:t>
      </w:r>
    </w:p>
    <w:p w:rsidR="0035022B" w:rsidRDefault="0035022B" w:rsidP="0035022B">
      <w:pPr>
        <w:pStyle w:val="a4"/>
        <w:numPr>
          <w:ilvl w:val="0"/>
          <w:numId w:val="10"/>
        </w:numPr>
      </w:pPr>
      <w:r>
        <w:rPr>
          <w:rStyle w:val="a5"/>
        </w:rPr>
        <w:t>Силовая тренировка</w:t>
      </w:r>
      <w:r>
        <w:t xml:space="preserve"> (высокие нагрузки, малое число повторений):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преобладает гипертрофия быстрых (гликолитических) волокон;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увеличивается площадь поперечного сечения мышц;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растёт максимальная сила и мощность;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усиливается синтез белка (пик — через 3–48 ч после тренировки).</w:t>
      </w:r>
    </w:p>
    <w:p w:rsidR="0035022B" w:rsidRDefault="0035022B" w:rsidP="0035022B">
      <w:pPr>
        <w:pStyle w:val="a4"/>
        <w:numPr>
          <w:ilvl w:val="0"/>
          <w:numId w:val="10"/>
        </w:numPr>
      </w:pPr>
      <w:r>
        <w:rPr>
          <w:rStyle w:val="a5"/>
        </w:rPr>
        <w:t>Тренировка на выносливость</w:t>
      </w:r>
      <w:r>
        <w:t xml:space="preserve"> (низкие/средние нагрузки, много повторений):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гипертрофия медленных (окислительных) волокон;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рост числа митохондрий и их ферментов;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повышение аэробной ёмкости;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небольшое снижение диаметра волокон, но рост выносливости.</w:t>
      </w:r>
    </w:p>
    <w:p w:rsidR="0035022B" w:rsidRDefault="0035022B" w:rsidP="0035022B">
      <w:pPr>
        <w:pStyle w:val="a4"/>
        <w:numPr>
          <w:ilvl w:val="0"/>
          <w:numId w:val="10"/>
        </w:numPr>
      </w:pPr>
      <w:r>
        <w:rPr>
          <w:rStyle w:val="a5"/>
        </w:rPr>
        <w:t>Кратковременная высокоинтенсивная нагрузка</w:t>
      </w:r>
      <w:r>
        <w:t xml:space="preserve"> (спринт, прыжки):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 xml:space="preserve">активация быстрых волокон при </w:t>
      </w:r>
      <w:proofErr w:type="gramStart"/>
      <w:r>
        <w:t>напряжении &gt;</w:t>
      </w:r>
      <w:proofErr w:type="gramEnd"/>
      <w:r>
        <w:t> 40 % от максимума;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 xml:space="preserve">увеличение синтеза </w:t>
      </w:r>
      <w:proofErr w:type="spellStart"/>
      <w:r>
        <w:t>актиновых</w:t>
      </w:r>
      <w:proofErr w:type="spellEnd"/>
      <w:r>
        <w:t xml:space="preserve"> и </w:t>
      </w:r>
      <w:proofErr w:type="spellStart"/>
      <w:r>
        <w:t>миозиновых</w:t>
      </w:r>
      <w:proofErr w:type="spellEnd"/>
      <w:r>
        <w:t xml:space="preserve"> нитей;</w:t>
      </w:r>
    </w:p>
    <w:p w:rsidR="0035022B" w:rsidRDefault="0035022B" w:rsidP="0035022B">
      <w:pPr>
        <w:pStyle w:val="a4"/>
        <w:numPr>
          <w:ilvl w:val="1"/>
          <w:numId w:val="10"/>
        </w:numPr>
      </w:pPr>
      <w:r>
        <w:t>рост силы, но быстрая утомляемость.</w:t>
      </w:r>
    </w:p>
    <w:p w:rsidR="0035022B" w:rsidRPr="0035022B" w:rsidRDefault="0035022B" w:rsidP="0035022B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35022B">
        <w:rPr>
          <w:rFonts w:ascii="Times New Roman" w:hAnsi="Times New Roman" w:cs="Times New Roman"/>
          <w:b/>
          <w:color w:val="auto"/>
        </w:rPr>
        <w:t>Ключевые факторы, влияющие на адаптацию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Регулярность тренировок</w:t>
      </w:r>
      <w:r>
        <w:t> — без систематических нагрузок гипертрофия прекращается, начинается регресс.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Интенсивность и объём</w:t>
      </w:r>
      <w:r>
        <w:t> — определяют тип и степень морфофункциональных изменений.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Питание</w:t>
      </w:r>
      <w:r>
        <w:t> — достаточное потребление белка, углеводов, витаминов и минералов.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Восстановление</w:t>
      </w:r>
      <w:r>
        <w:t xml:space="preserve"> — синтез белка и </w:t>
      </w:r>
      <w:proofErr w:type="spellStart"/>
      <w:r>
        <w:t>репаративные</w:t>
      </w:r>
      <w:proofErr w:type="spellEnd"/>
      <w:r>
        <w:t xml:space="preserve"> процессы идут в периоды отдыха.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Генетика</w:t>
      </w:r>
      <w:r>
        <w:t> — исходный состав мышечных волокон (быстрые/медленные) задаёт потенциал адаптации.</w:t>
      </w:r>
    </w:p>
    <w:p w:rsidR="0035022B" w:rsidRDefault="0035022B" w:rsidP="0035022B">
      <w:pPr>
        <w:pStyle w:val="a4"/>
        <w:numPr>
          <w:ilvl w:val="0"/>
          <w:numId w:val="12"/>
        </w:numPr>
      </w:pPr>
      <w:r>
        <w:rPr>
          <w:rStyle w:val="a5"/>
        </w:rPr>
        <w:t>Возраст и пол</w:t>
      </w:r>
      <w:r>
        <w:t xml:space="preserve"> — у молодых и мужчин гипертрофия обычно </w:t>
      </w:r>
      <w:proofErr w:type="spellStart"/>
      <w:r>
        <w:t>выраженнее</w:t>
      </w:r>
      <w:proofErr w:type="spellEnd"/>
      <w:r>
        <w:t>.</w:t>
      </w:r>
    </w:p>
    <w:p w:rsidR="0035022B" w:rsidRDefault="0035022B" w:rsidP="00AB509E">
      <w:pPr>
        <w:jc w:val="center"/>
        <w:rPr>
          <w:sz w:val="28"/>
          <w:szCs w:val="28"/>
        </w:rPr>
      </w:pPr>
    </w:p>
    <w:sectPr w:rsidR="0035022B" w:rsidSect="0020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DF7"/>
    <w:multiLevelType w:val="multilevel"/>
    <w:tmpl w:val="9CBE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464C"/>
    <w:multiLevelType w:val="multilevel"/>
    <w:tmpl w:val="34228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639E0"/>
    <w:multiLevelType w:val="multilevel"/>
    <w:tmpl w:val="1F0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08FD"/>
    <w:multiLevelType w:val="multilevel"/>
    <w:tmpl w:val="F50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D7A4B"/>
    <w:multiLevelType w:val="multilevel"/>
    <w:tmpl w:val="9E8E5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C2B03"/>
    <w:multiLevelType w:val="multilevel"/>
    <w:tmpl w:val="BD8C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509E9"/>
    <w:multiLevelType w:val="multilevel"/>
    <w:tmpl w:val="BFE8B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020D7"/>
    <w:multiLevelType w:val="multilevel"/>
    <w:tmpl w:val="FC5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32D41"/>
    <w:multiLevelType w:val="multilevel"/>
    <w:tmpl w:val="85DE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F2BDC"/>
    <w:multiLevelType w:val="multilevel"/>
    <w:tmpl w:val="8D4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C637C"/>
    <w:multiLevelType w:val="multilevel"/>
    <w:tmpl w:val="C702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A94C65"/>
    <w:multiLevelType w:val="multilevel"/>
    <w:tmpl w:val="0FC2F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E3918"/>
    <w:multiLevelType w:val="multilevel"/>
    <w:tmpl w:val="0D38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F7"/>
    <w:rsid w:val="001004A6"/>
    <w:rsid w:val="00173D17"/>
    <w:rsid w:val="00201ECF"/>
    <w:rsid w:val="002E3BFF"/>
    <w:rsid w:val="0035022B"/>
    <w:rsid w:val="00361E05"/>
    <w:rsid w:val="00421CC6"/>
    <w:rsid w:val="00547687"/>
    <w:rsid w:val="00611894"/>
    <w:rsid w:val="008067DE"/>
    <w:rsid w:val="0080788B"/>
    <w:rsid w:val="00844E5D"/>
    <w:rsid w:val="00A615A1"/>
    <w:rsid w:val="00A63FB4"/>
    <w:rsid w:val="00AB509E"/>
    <w:rsid w:val="00AD1447"/>
    <w:rsid w:val="00BD6155"/>
    <w:rsid w:val="00C548F7"/>
    <w:rsid w:val="00CB52C5"/>
    <w:rsid w:val="00D01208"/>
    <w:rsid w:val="00D11913"/>
    <w:rsid w:val="00E77911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65C3"/>
  <w15:docId w15:val="{651C9D33-7524-465F-BB8F-55C4EA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61E0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61E05"/>
    <w:rPr>
      <w:b/>
      <w:bCs/>
    </w:rPr>
  </w:style>
  <w:style w:type="character" w:styleId="a6">
    <w:name w:val="Emphasis"/>
    <w:basedOn w:val="a0"/>
    <w:uiPriority w:val="20"/>
    <w:qFormat/>
    <w:rsid w:val="00361E0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502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0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Hockey</cp:lastModifiedBy>
  <cp:revision>8</cp:revision>
  <dcterms:created xsi:type="dcterms:W3CDTF">2025-11-21T18:44:00Z</dcterms:created>
  <dcterms:modified xsi:type="dcterms:W3CDTF">2025-11-21T19:04:00Z</dcterms:modified>
</cp:coreProperties>
</file>