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CD11C2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 Иван Юрьевич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9A2902" w:rsidRPr="009A2902" w:rsidRDefault="009A2902" w:rsidP="00AB509E">
      <w:pPr>
        <w:jc w:val="center"/>
        <w:rPr>
          <w:b/>
          <w:sz w:val="28"/>
          <w:szCs w:val="28"/>
        </w:rPr>
      </w:pPr>
      <w:r w:rsidRPr="009A2902">
        <w:rPr>
          <w:b/>
          <w:sz w:val="28"/>
          <w:szCs w:val="28"/>
        </w:rPr>
        <w:lastRenderedPageBreak/>
        <w:t>Тема: Скелет, его механические и биологические функции. Отделы скелета.</w:t>
      </w:r>
    </w:p>
    <w:p w:rsidR="009A2902" w:rsidRPr="009A2902" w:rsidRDefault="009A2902" w:rsidP="00AB509E">
      <w:pPr>
        <w:jc w:val="center"/>
        <w:rPr>
          <w:b/>
          <w:sz w:val="32"/>
          <w:szCs w:val="32"/>
        </w:rPr>
      </w:pP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Скелет </w:t>
      </w:r>
      <w:r w:rsidRPr="009A2902">
        <w:rPr>
          <w:color w:val="000000" w:themeColor="text1"/>
          <w:sz w:val="32"/>
          <w:szCs w:val="32"/>
        </w:rPr>
        <w:t>- комплекс костей, выполняющих механические и биологические функции. К механическим функциям относятся: защитная, опорная, локомоторная. Биологические функции связаны с участием скелета в обмене веществ и кроветворении. В составе скелета 206 костей. Кости составляют 18 % общей массы тела.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В состав кости входят органические вещества (1/3) и неорганические вещества (2/3). Органические вещества -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белок оссеин, </w:t>
      </w:r>
      <w:r w:rsidRPr="009A2902">
        <w:rPr>
          <w:color w:val="000000" w:themeColor="text1"/>
          <w:sz w:val="32"/>
          <w:szCs w:val="32"/>
        </w:rPr>
        <w:t>неорганические вещества, в основном, соли кальция, магния, фосфора, причем 51 % составляет фосфорнокислый кальций.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У детей в различные возрастные периоды в костях больше органических веществ (белок оссеин), чем неорганических. Поэтому они отличаются гибкостью, эластичностью. С возрастом в костях увеличивается количество минеральных веществ, а количество органических веществ - уменьшается. Потому кости пожилых людей более хрупкие по сравнению с костями детей.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Основные признаки кости ребенка (молодой кости), обусловлены ее химическим составом: 1) малая плотность губчатого и компактного вещества; 2) на вид прозрачная; 3) более упругая, эластичная, гибкая по сравнению с костью взрослого; 4) менее твердая и хрупкая, чем кость взрослого; 5) подвержена деформации; 6) в ней хорошо развиты сосуды, питающие кость, что благоприятно сказывается на обменных процессах. К 2 годам жизни кости ребенка приближаются по своему строению к костям взрослого, а к 12 годам по химическому составу они схожи с костями взрослого.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 Кость включает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надкостницу </w:t>
      </w:r>
      <w:r w:rsidRPr="009A2902">
        <w:rPr>
          <w:color w:val="000000" w:themeColor="text1"/>
          <w:sz w:val="32"/>
          <w:szCs w:val="32"/>
        </w:rPr>
        <w:t>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собственно кость, </w:t>
      </w:r>
      <w:r w:rsidRPr="009A2902">
        <w:rPr>
          <w:color w:val="000000" w:themeColor="text1"/>
          <w:sz w:val="32"/>
          <w:szCs w:val="32"/>
        </w:rPr>
        <w:t>состоящую из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компактного, </w:t>
      </w:r>
      <w:r w:rsidRPr="009A2902">
        <w:rPr>
          <w:color w:val="000000" w:themeColor="text1"/>
          <w:sz w:val="32"/>
          <w:szCs w:val="32"/>
        </w:rPr>
        <w:t>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губчатого </w:t>
      </w:r>
      <w:r w:rsidRPr="009A2902">
        <w:rPr>
          <w:color w:val="000000" w:themeColor="text1"/>
          <w:sz w:val="32"/>
          <w:szCs w:val="32"/>
        </w:rPr>
        <w:t>вещества. Структурной единицей кости является остеон.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t>Трубчатая кость характеризуется особенностями строения. Она имеет тело -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диафиз </w:t>
      </w:r>
      <w:r w:rsidRPr="009A2902">
        <w:rPr>
          <w:color w:val="000000" w:themeColor="text1"/>
          <w:sz w:val="32"/>
          <w:szCs w:val="32"/>
        </w:rPr>
        <w:t>и два утолщения на концах - верхний и нижний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эпифизы. </w:t>
      </w:r>
      <w:r w:rsidRPr="009A2902">
        <w:rPr>
          <w:color w:val="000000" w:themeColor="text1"/>
          <w:sz w:val="32"/>
          <w:szCs w:val="32"/>
        </w:rPr>
        <w:t>На границе между эпифизом и диафизом в детских трубчатых костях находится хрящевая пластинка (</w:t>
      </w:r>
      <w:proofErr w:type="spellStart"/>
      <w:r w:rsidRPr="009A2902">
        <w:rPr>
          <w:color w:val="000000" w:themeColor="text1"/>
          <w:sz w:val="32"/>
          <w:szCs w:val="32"/>
        </w:rPr>
        <w:t>метафиз</w:t>
      </w:r>
      <w:proofErr w:type="spellEnd"/>
      <w:r w:rsidRPr="009A2902">
        <w:rPr>
          <w:color w:val="000000" w:themeColor="text1"/>
          <w:sz w:val="32"/>
          <w:szCs w:val="32"/>
        </w:rPr>
        <w:t>). Различают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осевой </w:t>
      </w:r>
      <w:r w:rsidRPr="009A2902">
        <w:rPr>
          <w:color w:val="000000" w:themeColor="text1"/>
          <w:sz w:val="32"/>
          <w:szCs w:val="32"/>
        </w:rPr>
        <w:t>скелет и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добавочный.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color w:val="000000" w:themeColor="text1"/>
          <w:sz w:val="32"/>
          <w:szCs w:val="32"/>
        </w:rPr>
        <w:lastRenderedPageBreak/>
        <w:t> 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Осевой скелет </w:t>
      </w:r>
      <w:r w:rsidRPr="009A2902">
        <w:rPr>
          <w:color w:val="000000" w:themeColor="text1"/>
          <w:sz w:val="32"/>
          <w:szCs w:val="32"/>
        </w:rPr>
        <w:t>включает скелет головы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(череп) и скелет туловища.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Череп. </w:t>
      </w:r>
      <w:r w:rsidRPr="009A2902">
        <w:rPr>
          <w:color w:val="000000" w:themeColor="text1"/>
          <w:sz w:val="32"/>
          <w:szCs w:val="32"/>
        </w:rPr>
        <w:t>В черепе выделяют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мозговой и лицевой </w:t>
      </w:r>
      <w:r w:rsidRPr="009A2902">
        <w:rPr>
          <w:color w:val="000000" w:themeColor="text1"/>
          <w:sz w:val="32"/>
          <w:szCs w:val="32"/>
        </w:rPr>
        <w:t>отделы. Череп человека отличается от черепа других млекопитающих преобладанием мозгового отдела над лицевым.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Скелет туловища </w:t>
      </w:r>
      <w:r w:rsidRPr="009A2902">
        <w:rPr>
          <w:color w:val="000000" w:themeColor="text1"/>
          <w:sz w:val="32"/>
          <w:szCs w:val="32"/>
        </w:rPr>
        <w:t>образован </w:t>
      </w: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позвоночным столбом (позвоночник), ребрами и грудиной.</w:t>
      </w: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9A2902">
        <w:rPr>
          <w:rStyle w:val="a5"/>
          <w:rFonts w:eastAsiaTheme="majorEastAsia"/>
          <w:color w:val="000000" w:themeColor="text1"/>
          <w:sz w:val="32"/>
          <w:szCs w:val="32"/>
        </w:rPr>
        <w:t>Добавочный скелет </w:t>
      </w:r>
      <w:r w:rsidRPr="009A2902">
        <w:rPr>
          <w:color w:val="000000" w:themeColor="text1"/>
          <w:sz w:val="32"/>
          <w:szCs w:val="32"/>
        </w:rPr>
        <w:t>включает скелет верхних конечностей и скелет нижних конечностей.</w:t>
      </w: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Pr="00B46353" w:rsidRDefault="00B46353" w:rsidP="009A2902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</w:t>
      </w:r>
      <w:proofErr w:type="gramStart"/>
      <w:r w:rsidR="009A2902" w:rsidRPr="00B46353">
        <w:rPr>
          <w:b/>
          <w:color w:val="000000" w:themeColor="text1"/>
          <w:sz w:val="32"/>
          <w:szCs w:val="32"/>
        </w:rPr>
        <w:t>Тема :</w:t>
      </w:r>
      <w:proofErr w:type="gramEnd"/>
      <w:r w:rsidR="009A2902" w:rsidRPr="00B46353">
        <w:rPr>
          <w:b/>
          <w:color w:val="000000" w:themeColor="text1"/>
          <w:sz w:val="32"/>
          <w:szCs w:val="32"/>
        </w:rPr>
        <w:t xml:space="preserve"> </w:t>
      </w:r>
      <w:r w:rsidRPr="00B46353">
        <w:rPr>
          <w:b/>
          <w:color w:val="000000" w:themeColor="text1"/>
          <w:sz w:val="32"/>
          <w:szCs w:val="32"/>
        </w:rPr>
        <w:t xml:space="preserve">Морфологические характеристики </w:t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</w:t>
      </w:r>
      <w:r w:rsidRPr="00B46353">
        <w:rPr>
          <w:b/>
          <w:color w:val="000000" w:themeColor="text1"/>
          <w:sz w:val="32"/>
          <w:szCs w:val="32"/>
        </w:rPr>
        <w:t>высококвалифицированных хоккеистов.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Масса тела</w:t>
      </w:r>
      <w:r w:rsidRPr="00B46353">
        <w:rPr>
          <w:color w:val="000000" w:themeColor="text1"/>
          <w:sz w:val="28"/>
          <w:szCs w:val="28"/>
        </w:rPr>
        <w:t>. Взрослые высококвалифицированные хоккеисты стран, регулярно выступающие в первой группе Чемпионата мира, характеризуются относительно большой массой тела (91,4–94,5 кг).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Рост</w:t>
      </w:r>
      <w:r w:rsidRPr="00B46353">
        <w:rPr>
          <w:color w:val="000000" w:themeColor="text1"/>
          <w:sz w:val="28"/>
          <w:szCs w:val="28"/>
        </w:rPr>
        <w:t>. </w:t>
      </w:r>
      <w:hyperlink r:id="rId5" w:tgtFrame="_blank" w:history="1">
        <w:r w:rsidRPr="00B46353">
          <w:rPr>
            <w:rStyle w:val="a7"/>
            <w:rFonts w:eastAsiaTheme="majorEastAsia"/>
            <w:color w:val="000000" w:themeColor="text1"/>
            <w:sz w:val="28"/>
            <w:szCs w:val="28"/>
          </w:rPr>
          <w:t>1</w:t>
        </w:r>
      </w:hyperlink>
      <w:hyperlink r:id="rId6" w:tgtFrame="_blank" w:history="1">
        <w:r w:rsidRPr="00B46353">
          <w:rPr>
            <w:rStyle w:val="a7"/>
            <w:rFonts w:eastAsiaTheme="majorEastAsia"/>
            <w:color w:val="000000" w:themeColor="text1"/>
            <w:sz w:val="28"/>
            <w:szCs w:val="28"/>
          </w:rPr>
          <w:t>4</w:t>
        </w:r>
      </w:hyperlink>
      <w:r w:rsidRPr="00B46353">
        <w:rPr>
          <w:color w:val="000000" w:themeColor="text1"/>
          <w:sz w:val="28"/>
          <w:szCs w:val="28"/>
        </w:rPr>
        <w:t> Средний рост профессионального хоккеиста — 184,5 см.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Длина ноги</w:t>
      </w:r>
      <w:r w:rsidRPr="00B46353">
        <w:rPr>
          <w:color w:val="000000" w:themeColor="text1"/>
          <w:sz w:val="28"/>
          <w:szCs w:val="28"/>
        </w:rPr>
        <w:t>. У спортсменов 15–16 лет этот показатель составляет 103,3 (99–106 см), а 17 лет — 105,5 (101–110 см).</w:t>
      </w:r>
    </w:p>
    <w:p w:rsidR="00B46353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Длина руки</w:t>
      </w:r>
      <w:r w:rsidRPr="00B46353">
        <w:rPr>
          <w:color w:val="000000" w:themeColor="text1"/>
          <w:sz w:val="28"/>
          <w:szCs w:val="28"/>
        </w:rPr>
        <w:t>. У хоккеистов 15–16 лет этот показатель равен 83 (81–85 см), а 17 лет — 80 (79–86 см).</w:t>
      </w:r>
    </w:p>
    <w:p w:rsidR="009A2902" w:rsidRDefault="009A2902" w:rsidP="00B46353">
      <w:pPr>
        <w:shd w:val="clear" w:color="auto" w:fill="FFFFFF"/>
        <w:rPr>
          <w:color w:val="000000" w:themeColor="text1"/>
          <w:sz w:val="28"/>
          <w:szCs w:val="28"/>
        </w:rPr>
      </w:pPr>
      <w:r w:rsidRPr="00B46353">
        <w:rPr>
          <w:rStyle w:val="a6"/>
          <w:color w:val="000000" w:themeColor="text1"/>
          <w:sz w:val="28"/>
          <w:szCs w:val="28"/>
        </w:rPr>
        <w:t>Обхват груди</w:t>
      </w:r>
      <w:r w:rsidRPr="00B46353">
        <w:rPr>
          <w:color w:val="000000" w:themeColor="text1"/>
          <w:sz w:val="28"/>
          <w:szCs w:val="28"/>
        </w:rPr>
        <w:t>. В спокойном состоянии — 90 (86–92 см), при максимальном вдохе — 93 (92–94 см), при максимальном выдохе — 88 (84–90 см), обхват запястья — 17 (16,5–18 см).</w:t>
      </w:r>
    </w:p>
    <w:p w:rsidR="00B46353" w:rsidRPr="00B46353" w:rsidRDefault="00B46353" w:rsidP="00B46353">
      <w:pPr>
        <w:shd w:val="clear" w:color="auto" w:fill="FFFFFF"/>
        <w:spacing w:beforeAutospacing="1"/>
        <w:rPr>
          <w:color w:val="000000" w:themeColor="text1"/>
          <w:sz w:val="28"/>
          <w:szCs w:val="28"/>
        </w:rPr>
      </w:pPr>
    </w:p>
    <w:p w:rsidR="009A2902" w:rsidRPr="00B46353" w:rsidRDefault="009A2902" w:rsidP="009A2902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B46353">
        <w:rPr>
          <w:color w:val="000000" w:themeColor="text1"/>
          <w:sz w:val="28"/>
          <w:szCs w:val="28"/>
        </w:rPr>
        <w:t xml:space="preserve">Морфологические характеристики хоккеистов высокой квалификации могут отличаться в зависимости от игрового амплуа. Например, у защитников выше масса тела, окружность грудной клетки при вдохе, окружность шеи, жизненная ёмкость лёгких, индекс пропорциональности грудной клетки (индекс Эрисмана), весоростовой индекс (индекс </w:t>
      </w:r>
      <w:proofErr w:type="spellStart"/>
      <w:r w:rsidRPr="00B46353">
        <w:rPr>
          <w:color w:val="000000" w:themeColor="text1"/>
          <w:sz w:val="28"/>
          <w:szCs w:val="28"/>
        </w:rPr>
        <w:t>Кетле</w:t>
      </w:r>
      <w:proofErr w:type="spellEnd"/>
      <w:r w:rsidRPr="00B46353">
        <w:rPr>
          <w:color w:val="000000" w:themeColor="text1"/>
          <w:sz w:val="28"/>
          <w:szCs w:val="28"/>
        </w:rPr>
        <w:t>). У нападающих — силовой индекс (правой и левой руки) и жизненный индекс. </w:t>
      </w:r>
    </w:p>
    <w:p w:rsidR="009A2902" w:rsidRPr="009A2902" w:rsidRDefault="009A2902" w:rsidP="009A290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9A2902" w:rsidRPr="009A2902" w:rsidRDefault="009A2902" w:rsidP="00AB509E">
      <w:pPr>
        <w:jc w:val="center"/>
        <w:rPr>
          <w:rFonts w:ascii="Arial" w:hAnsi="Arial" w:cs="Arial"/>
          <w:sz w:val="32"/>
          <w:szCs w:val="32"/>
        </w:rPr>
      </w:pPr>
    </w:p>
    <w:sectPr w:rsidR="009A2902" w:rsidRPr="009A2902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6446"/>
    <w:multiLevelType w:val="multilevel"/>
    <w:tmpl w:val="422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8067DE"/>
    <w:rsid w:val="0080788B"/>
    <w:rsid w:val="009A2902"/>
    <w:rsid w:val="00A615A1"/>
    <w:rsid w:val="00A63FB4"/>
    <w:rsid w:val="00AB509E"/>
    <w:rsid w:val="00B46353"/>
    <w:rsid w:val="00BD6155"/>
    <w:rsid w:val="00C548F7"/>
    <w:rsid w:val="00CB52C5"/>
    <w:rsid w:val="00CD11C2"/>
    <w:rsid w:val="00D01208"/>
    <w:rsid w:val="00D1191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D2A2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290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A2902"/>
    <w:rPr>
      <w:i/>
      <w:iCs/>
    </w:rPr>
  </w:style>
  <w:style w:type="character" w:styleId="a6">
    <w:name w:val="Strong"/>
    <w:basedOn w:val="a0"/>
    <w:uiPriority w:val="22"/>
    <w:qFormat/>
    <w:rsid w:val="009A2902"/>
    <w:rPr>
      <w:b/>
      <w:bCs/>
    </w:rPr>
  </w:style>
  <w:style w:type="character" w:styleId="a7">
    <w:name w:val="Hyperlink"/>
    <w:basedOn w:val="a0"/>
    <w:uiPriority w:val="99"/>
    <w:semiHidden/>
    <w:unhideWhenUsed/>
    <w:rsid w:val="009A290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A2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bskfmba.ru/arkhiv-nomerov/2023-4/koryagina2023" TargetMode="External"/><Relationship Id="rId5" Type="http://schemas.openxmlformats.org/officeDocument/2006/relationships/hyperlink" Target="https://nauchkor.ru/uploads/documents/5f4b5b98cd3d3e00017cd7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3</cp:revision>
  <dcterms:created xsi:type="dcterms:W3CDTF">2024-11-08T05:19:00Z</dcterms:created>
  <dcterms:modified xsi:type="dcterms:W3CDTF">2024-11-08T05:22:00Z</dcterms:modified>
</cp:coreProperties>
</file>